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17A" w:rsidRPr="00663EA7" w:rsidRDefault="002C317A" w:rsidP="00663EA7">
      <w:pPr>
        <w:rPr>
          <w:rStyle w:val="Heading0"/>
        </w:rPr>
      </w:pPr>
      <w:bookmarkStart w:id="0" w:name="_GoBack"/>
      <w:bookmarkEnd w:id="0"/>
      <w:r w:rsidRPr="00663EA7">
        <w:rPr>
          <w:rStyle w:val="Heading0"/>
        </w:rPr>
        <w:t>Exhibit B — System Requirements</w:t>
      </w:r>
    </w:p>
    <w:p w:rsidR="002C317A" w:rsidRDefault="002C317A" w:rsidP="00455707">
      <w:pPr>
        <w:spacing w:after="120"/>
      </w:pPr>
      <w:r>
        <w:t>The Connected Payments system’s requirements that must be provided by Customer to enable operation of Connected Payments and the Covered Modules in Customer’s sites include, as of the Effective Date of this Agreement, but may not be limited to:</w:t>
      </w:r>
    </w:p>
    <w:p w:rsidR="002C317A" w:rsidRPr="002C317A" w:rsidRDefault="002C317A" w:rsidP="00455707">
      <w:pPr>
        <w:pStyle w:val="Numbered"/>
        <w:spacing w:after="120"/>
        <w:ind w:left="360" w:hanging="360"/>
      </w:pPr>
      <w:r w:rsidRPr="002C317A">
        <w:t>Electronic payments terminals (PIN pads) at each POS location designated to be compatible with Connected Payments</w:t>
      </w:r>
      <w:r w:rsidR="00671D6B">
        <w:t xml:space="preserve">.  </w:t>
      </w:r>
      <w:r w:rsidRPr="002C317A">
        <w:t>Confirmation of compatibility for specific terminal types shall be provided upon request.</w:t>
      </w:r>
    </w:p>
    <w:p w:rsidR="002C317A" w:rsidRDefault="002C317A" w:rsidP="00455707">
      <w:pPr>
        <w:pStyle w:val="Numbered"/>
        <w:spacing w:after="120"/>
        <w:ind w:left="360" w:hanging="360"/>
      </w:pPr>
      <w:r>
        <w:t>Store connection to the Internet or a network that enables connection to the Connected Payments data centers</w:t>
      </w:r>
      <w:r w:rsidR="00671D6B">
        <w:t xml:space="preserve">.  </w:t>
      </w:r>
      <w:r>
        <w:t>Connection MUST extend to the individual POS lanes that will use Connected Payments</w:t>
      </w:r>
      <w:r w:rsidR="00671D6B">
        <w:t xml:space="preserve">.  </w:t>
      </w:r>
    </w:p>
    <w:p w:rsidR="002C317A" w:rsidRDefault="002C317A" w:rsidP="00455707">
      <w:pPr>
        <w:pStyle w:val="Numbered"/>
        <w:spacing w:after="120"/>
        <w:ind w:left="360" w:hanging="360"/>
      </w:pPr>
      <w:r>
        <w:t>A voice-data telephone line must be available if dial-backup functions will be used.</w:t>
      </w:r>
    </w:p>
    <w:p w:rsidR="002C317A" w:rsidRDefault="002C317A" w:rsidP="00455707">
      <w:pPr>
        <w:pStyle w:val="Numbered"/>
        <w:spacing w:after="120"/>
        <w:ind w:left="360" w:hanging="360"/>
      </w:pPr>
      <w:r>
        <w:t>An Internet or network-enabled PC and connection is required for users to access reporting, data, analysis and all other capabilities provided by the Connected Payments and/or Connected Services systems</w:t>
      </w:r>
      <w:r w:rsidR="00671D6B">
        <w:t xml:space="preserve">.  </w:t>
      </w:r>
      <w:r>
        <w:t>Such PCs require Microsoft Internet Explorer version 7.0 or greater.</w:t>
      </w:r>
    </w:p>
    <w:p w:rsidR="002C317A" w:rsidRDefault="002C317A" w:rsidP="00455707">
      <w:pPr>
        <w:pStyle w:val="Numbered"/>
        <w:spacing w:after="120"/>
        <w:ind w:left="360" w:hanging="360"/>
      </w:pPr>
      <w:r>
        <w:t>Each Customer must have a processing agreement/merchant agreement directly with a processor/acquirer covering each site to be connected and for each electronic transaction type that the Customer will conduct.</w:t>
      </w:r>
    </w:p>
    <w:p w:rsidR="002C317A" w:rsidRDefault="002C317A" w:rsidP="005C16D3">
      <w:pPr>
        <w:pStyle w:val="Numbered"/>
        <w:numPr>
          <w:ilvl w:val="1"/>
          <w:numId w:val="4"/>
        </w:numPr>
        <w:spacing w:after="120"/>
        <w:ind w:left="720"/>
      </w:pPr>
      <w:r>
        <w:t xml:space="preserve">The payments processor with which Customer has the Merchant Agreement must be on </w:t>
      </w:r>
      <w:r w:rsidR="00671D6B">
        <w:t>NCR</w:t>
      </w:r>
      <w:r>
        <w:t xml:space="preserve">’s list of current acquirers, and currently co-certified between </w:t>
      </w:r>
      <w:r w:rsidR="00671D6B">
        <w:t>NCR</w:t>
      </w:r>
      <w:r>
        <w:t xml:space="preserve"> and that Processor.</w:t>
      </w:r>
    </w:p>
    <w:p w:rsidR="002C317A" w:rsidRDefault="00671D6B" w:rsidP="005C16D3">
      <w:pPr>
        <w:pStyle w:val="Numbered"/>
        <w:numPr>
          <w:ilvl w:val="1"/>
          <w:numId w:val="4"/>
        </w:numPr>
        <w:spacing w:after="120"/>
        <w:ind w:left="720"/>
      </w:pPr>
      <w:r>
        <w:t>NCR</w:t>
      </w:r>
      <w:r w:rsidR="002C317A">
        <w:t xml:space="preserve"> DOES NOT SUPPORT INDEPENDENT SALES ORGANIZATIONS (“ISOs”) THAT SELL PROCESSING SERVICES</w:t>
      </w:r>
      <w:r w:rsidR="001E306D">
        <w:t>,</w:t>
      </w:r>
      <w:r w:rsidR="002C317A">
        <w:t xml:space="preserve"> NOR </w:t>
      </w:r>
      <w:r w:rsidR="001E306D">
        <w:t xml:space="preserve">WILL NCR SUPPORT SITES WITH </w:t>
      </w:r>
      <w:r w:rsidR="002C317A">
        <w:t>CUSTOMER MERCHANT AGREEMENTS SIGNED WITH ISOs</w:t>
      </w:r>
      <w:r>
        <w:t xml:space="preserve">.  </w:t>
      </w:r>
      <w:r w:rsidR="002C317A">
        <w:t>ALL CUSTOMER MERCHANT AGREEMENTS MUST BE DIRECTLY BETWEEN CUSTOMER AND THE PROCESSOR.</w:t>
      </w:r>
    </w:p>
    <w:p w:rsidR="002C317A" w:rsidRDefault="00671D6B" w:rsidP="005C16D3">
      <w:pPr>
        <w:pStyle w:val="Numbered"/>
        <w:numPr>
          <w:ilvl w:val="1"/>
          <w:numId w:val="4"/>
        </w:numPr>
        <w:spacing w:after="120"/>
        <w:ind w:left="720"/>
      </w:pPr>
      <w:r>
        <w:t>NCR</w:t>
      </w:r>
      <w:r w:rsidR="002C317A">
        <w:t xml:space="preserve"> requires that the initial page and the signature page of Customer’s Merchant Agreement be provided as with the paperwork accompanying this Agreement, and any time Customer intends to change to or add another processor/acquirer via Connected Payments</w:t>
      </w:r>
    </w:p>
    <w:p w:rsidR="002C317A" w:rsidRDefault="002C317A" w:rsidP="005C16D3">
      <w:pPr>
        <w:pStyle w:val="Numbered"/>
        <w:numPr>
          <w:ilvl w:val="1"/>
          <w:numId w:val="4"/>
        </w:numPr>
        <w:spacing w:after="120"/>
        <w:ind w:left="720"/>
      </w:pPr>
      <w:r>
        <w:t>The list of processors may change from time to time</w:t>
      </w:r>
      <w:r w:rsidR="00671D6B">
        <w:t xml:space="preserve">.  </w:t>
      </w:r>
      <w:r>
        <w:t xml:space="preserve">It is </w:t>
      </w:r>
      <w:r w:rsidR="00671D6B">
        <w:t>NCR</w:t>
      </w:r>
      <w:r>
        <w:t>’s intention to retain processor agreements as long as possible, however business and technical issues may preclude continuation of processor relationships</w:t>
      </w:r>
      <w:r w:rsidR="00671D6B">
        <w:t>.  NCR</w:t>
      </w:r>
      <w:r>
        <w:t xml:space="preserve"> accepts no obligation to enable Transactions with any processor</w:t>
      </w:r>
      <w:r w:rsidR="00671D6B">
        <w:t xml:space="preserve">.  </w:t>
      </w:r>
    </w:p>
    <w:p w:rsidR="002C317A" w:rsidRDefault="002C317A" w:rsidP="005C16D3">
      <w:pPr>
        <w:pStyle w:val="Numbered"/>
        <w:numPr>
          <w:ilvl w:val="1"/>
          <w:numId w:val="4"/>
        </w:numPr>
        <w:spacing w:after="60"/>
        <w:ind w:left="720"/>
      </w:pPr>
      <w:r>
        <w:t>Current payment processors include:</w:t>
      </w:r>
    </w:p>
    <w:p w:rsidR="002C317A" w:rsidRDefault="002C317A" w:rsidP="005C16D3">
      <w:pPr>
        <w:pStyle w:val="Numbered"/>
        <w:numPr>
          <w:ilvl w:val="2"/>
          <w:numId w:val="4"/>
        </w:numPr>
        <w:spacing w:after="60"/>
        <w:ind w:left="1080" w:hanging="360"/>
      </w:pPr>
      <w:r>
        <w:t>Chase Paymentech</w:t>
      </w:r>
    </w:p>
    <w:p w:rsidR="002C317A" w:rsidRDefault="002C317A" w:rsidP="005C16D3">
      <w:pPr>
        <w:pStyle w:val="Numbered"/>
        <w:numPr>
          <w:ilvl w:val="2"/>
          <w:numId w:val="4"/>
        </w:numPr>
        <w:spacing w:after="60"/>
        <w:ind w:left="1080" w:hanging="360"/>
      </w:pPr>
      <w:r>
        <w:t xml:space="preserve">Elavon </w:t>
      </w:r>
    </w:p>
    <w:p w:rsidR="00455707" w:rsidRPr="00455707" w:rsidRDefault="00455707" w:rsidP="005C16D3">
      <w:pPr>
        <w:pStyle w:val="Numbered"/>
        <w:numPr>
          <w:ilvl w:val="1"/>
          <w:numId w:val="9"/>
        </w:numPr>
        <w:spacing w:after="60"/>
        <w:ind w:left="1080"/>
        <w:rPr>
          <w:rFonts w:ascii="Arial Narrow" w:hAnsi="Arial Narrow"/>
          <w:i/>
        </w:rPr>
      </w:pPr>
      <w:r w:rsidRPr="00455707">
        <w:rPr>
          <w:rFonts w:ascii="Arial Narrow" w:hAnsi="Arial Narrow"/>
          <w:i/>
        </w:rPr>
        <w:t xml:space="preserve">Please note that all Elavon ECC implementations are customized by Elavon for each specific merchant, requiring possible development and coordination with </w:t>
      </w:r>
      <w:r>
        <w:rPr>
          <w:rFonts w:ascii="Arial Narrow" w:hAnsi="Arial Narrow"/>
          <w:i/>
        </w:rPr>
        <w:t>NCR</w:t>
      </w:r>
      <w:r w:rsidRPr="00455707">
        <w:rPr>
          <w:rFonts w:ascii="Arial Narrow" w:hAnsi="Arial Narrow"/>
          <w:i/>
        </w:rPr>
        <w:t xml:space="preserve">.  All Elavon ECC (and possibly other transaction media) implementations will require a funded Statement of Work from </w:t>
      </w:r>
      <w:r>
        <w:rPr>
          <w:rFonts w:ascii="Arial Narrow" w:hAnsi="Arial Narrow"/>
          <w:i/>
        </w:rPr>
        <w:t>NCR</w:t>
      </w:r>
      <w:r w:rsidRPr="00455707">
        <w:rPr>
          <w:rFonts w:ascii="Arial Narrow" w:hAnsi="Arial Narrow"/>
          <w:i/>
        </w:rPr>
        <w:t>.</w:t>
      </w:r>
    </w:p>
    <w:p w:rsidR="002C317A" w:rsidRDefault="002C317A" w:rsidP="005C16D3">
      <w:pPr>
        <w:pStyle w:val="Numbered"/>
        <w:numPr>
          <w:ilvl w:val="2"/>
          <w:numId w:val="4"/>
        </w:numPr>
        <w:spacing w:after="60"/>
        <w:ind w:left="1080" w:hanging="360"/>
      </w:pPr>
      <w:r>
        <w:t>Fifth Third Bank Processing Solutions (“Vantive”)</w:t>
      </w:r>
    </w:p>
    <w:p w:rsidR="002C317A" w:rsidRDefault="002C317A" w:rsidP="005C16D3">
      <w:pPr>
        <w:pStyle w:val="Numbered"/>
        <w:numPr>
          <w:ilvl w:val="2"/>
          <w:numId w:val="4"/>
        </w:numPr>
        <w:spacing w:after="60"/>
        <w:ind w:left="1080" w:hanging="360"/>
      </w:pPr>
      <w:r>
        <w:t xml:space="preserve">First Data </w:t>
      </w:r>
    </w:p>
    <w:p w:rsidR="002C317A" w:rsidRDefault="002C317A" w:rsidP="005C16D3">
      <w:pPr>
        <w:pStyle w:val="Numbered"/>
        <w:numPr>
          <w:ilvl w:val="2"/>
          <w:numId w:val="4"/>
        </w:numPr>
        <w:spacing w:after="60"/>
        <w:ind w:left="1080" w:hanging="360"/>
      </w:pPr>
      <w:r>
        <w:t>WorldPay (or “RBS WorldPay” or “RBS”)</w:t>
      </w:r>
    </w:p>
    <w:p w:rsidR="002C317A" w:rsidRDefault="002C317A" w:rsidP="005C16D3">
      <w:pPr>
        <w:pStyle w:val="Numbered"/>
        <w:numPr>
          <w:ilvl w:val="2"/>
          <w:numId w:val="4"/>
        </w:numPr>
        <w:spacing w:after="60"/>
        <w:ind w:left="1080" w:hanging="360"/>
      </w:pPr>
      <w:r>
        <w:t>Shazam</w:t>
      </w:r>
    </w:p>
    <w:p w:rsidR="002C317A" w:rsidRDefault="002C317A" w:rsidP="005C16D3">
      <w:pPr>
        <w:pStyle w:val="Numbered"/>
        <w:numPr>
          <w:ilvl w:val="2"/>
          <w:numId w:val="4"/>
        </w:numPr>
        <w:spacing w:after="60"/>
        <w:ind w:left="1080" w:hanging="360"/>
      </w:pPr>
      <w:r>
        <w:t>SoluPay</w:t>
      </w:r>
    </w:p>
    <w:p w:rsidR="00455707" w:rsidRDefault="00455707" w:rsidP="005C16D3">
      <w:pPr>
        <w:pStyle w:val="Numbered"/>
        <w:numPr>
          <w:ilvl w:val="2"/>
          <w:numId w:val="4"/>
        </w:numPr>
        <w:spacing w:after="60"/>
        <w:ind w:left="1080" w:hanging="360"/>
      </w:pPr>
      <w:r>
        <w:t>TeleCheck</w:t>
      </w:r>
    </w:p>
    <w:p w:rsidR="00455707" w:rsidRPr="00455707" w:rsidRDefault="00455707" w:rsidP="005C16D3">
      <w:pPr>
        <w:pStyle w:val="Numbered"/>
        <w:numPr>
          <w:ilvl w:val="1"/>
          <w:numId w:val="9"/>
        </w:numPr>
        <w:spacing w:after="60"/>
        <w:ind w:left="1080"/>
        <w:rPr>
          <w:rFonts w:ascii="Arial Narrow" w:hAnsi="Arial Narrow"/>
          <w:i/>
        </w:rPr>
      </w:pPr>
      <w:r w:rsidRPr="00455707">
        <w:rPr>
          <w:rFonts w:ascii="Arial Narrow" w:hAnsi="Arial Narrow"/>
          <w:i/>
        </w:rPr>
        <w:t xml:space="preserve">Please note that TeleCheck is the exclusive provider of Electronic Check Conversion / Electronic Check Authorization for Connected Payments.  Customer’s agreements with other providers (e.g. SoluPay) will be honored if (1) those agreements pre-date the </w:t>
      </w:r>
      <w:r>
        <w:rPr>
          <w:rFonts w:ascii="Arial Narrow" w:hAnsi="Arial Narrow"/>
          <w:i/>
        </w:rPr>
        <w:t>NCR</w:t>
      </w:r>
      <w:r w:rsidRPr="00455707">
        <w:rPr>
          <w:rFonts w:ascii="Arial Narrow" w:hAnsi="Arial Narrow"/>
          <w:i/>
        </w:rPr>
        <w:t xml:space="preserve"> subscription agreement and (2) that current processor is currently supported for such transactions via Connected Payments.</w:t>
      </w:r>
    </w:p>
    <w:p w:rsidR="00663EA7" w:rsidRDefault="00671D6B" w:rsidP="0014156A">
      <w:pPr>
        <w:pStyle w:val="Numbered"/>
        <w:ind w:left="360" w:hanging="360"/>
      </w:pPr>
      <w:r>
        <w:t>NCR</w:t>
      </w:r>
      <w:r w:rsidR="002C317A">
        <w:t xml:space="preserve"> shall make commercially reasonable efforts to maintain ongoing compatibility between the Covered Modules and the systems, vendors, services and products listed in these System Requirements, but </w:t>
      </w:r>
      <w:r>
        <w:t>NCR</w:t>
      </w:r>
      <w:r w:rsidR="001E306D">
        <w:t xml:space="preserve"> </w:t>
      </w:r>
      <w:r w:rsidR="002C317A">
        <w:t>accepts no obligation beyond such commercially reasonable efforts to do so</w:t>
      </w:r>
      <w:r>
        <w:t xml:space="preserve">.  </w:t>
      </w:r>
      <w:r w:rsidR="002C317A">
        <w:t>Such efforts may require maintenance and, from time to time, upgrades or updates of Customer’s systems.</w:t>
      </w:r>
      <w:r w:rsidR="002C317A" w:rsidRPr="002C317A">
        <w:t xml:space="preserve"> </w:t>
      </w:r>
    </w:p>
    <w:sectPr w:rsidR="00663EA7" w:rsidSect="002B5A7A">
      <w:headerReference w:type="even" r:id="rId9"/>
      <w:headerReference w:type="default" r:id="rId10"/>
      <w:footerReference w:type="even" r:id="rId11"/>
      <w:footerReference w:type="default" r:id="rId12"/>
      <w:headerReference w:type="first" r:id="rId13"/>
      <w:footerReference w:type="first" r:id="rId14"/>
      <w:pgSz w:w="12240" w:h="15840"/>
      <w:pgMar w:top="1728" w:right="864" w:bottom="144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F7C" w:rsidRDefault="002C0F7C" w:rsidP="00C02DE2">
      <w:pPr>
        <w:spacing w:after="0"/>
      </w:pPr>
      <w:r>
        <w:separator/>
      </w:r>
    </w:p>
    <w:p w:rsidR="002C0F7C" w:rsidRDefault="002C0F7C"/>
  </w:endnote>
  <w:endnote w:type="continuationSeparator" w:id="0">
    <w:p w:rsidR="002C0F7C" w:rsidRDefault="002C0F7C" w:rsidP="00C02DE2">
      <w:pPr>
        <w:spacing w:after="0"/>
      </w:pPr>
      <w:r>
        <w:continuationSeparator/>
      </w:r>
    </w:p>
    <w:p w:rsidR="002C0F7C" w:rsidRDefault="002C0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3C2" w:rsidRDefault="001A13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56A" w:rsidRPr="0014156A" w:rsidRDefault="0014156A" w:rsidP="0014156A">
    <w:pPr>
      <w:tabs>
        <w:tab w:val="center" w:pos="5220"/>
        <w:tab w:val="right" w:pos="10530"/>
      </w:tabs>
      <w:spacing w:after="0"/>
      <w:rPr>
        <w:rFonts w:ascii="Arial" w:eastAsia="Calibri" w:hAnsi="Arial" w:cs="Arial"/>
        <w:b/>
        <w:color w:val="A3A3A3"/>
        <w:sz w:val="18"/>
        <w:szCs w:val="14"/>
        <w14:textFill>
          <w14:solidFill>
            <w14:srgbClr w14:val="A3A3A3">
              <w14:lumMod w14:val="85000"/>
              <w14:lumOff w14:val="15000"/>
              <w14:lumMod w14:val="85000"/>
              <w14:lumOff w14:val="15000"/>
            </w14:srgbClr>
          </w14:solidFill>
        </w14:textFill>
      </w:rPr>
    </w:pPr>
    <w:r w:rsidRPr="0014156A">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98176" behindDoc="0" locked="0" layoutInCell="1" allowOverlap="1" wp14:anchorId="35835A83" wp14:editId="0B341C46">
              <wp:simplePos x="0" y="0"/>
              <wp:positionH relativeFrom="column">
                <wp:posOffset>0</wp:posOffset>
              </wp:positionH>
              <wp:positionV relativeFrom="paragraph">
                <wp:posOffset>-76200</wp:posOffset>
              </wp:positionV>
              <wp:extent cx="6675120" cy="0"/>
              <wp:effectExtent l="0" t="0" r="11430" b="19050"/>
              <wp:wrapNone/>
              <wp:docPr id="7" name="Straight Connector 7"/>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" strokecolor="#48a43e" strokeweight=".5pt"/>
          </w:pict>
        </mc:Fallback>
      </mc:AlternateContent>
    </w:r>
    <w:r>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w:t>
    </w:r>
    <w:r w:rsidRPr="0014156A">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12.0, 18-Nov-14</w:t>
    </w:r>
    <w:r w:rsidRPr="0014156A">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Pr="0014156A">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Exhibit B — System Requirements</w:t>
    </w:r>
    <w:r w:rsidRPr="0014156A">
      <w:rPr>
        <w:rFonts w:ascii="Arial" w:eastAsia="Calibri" w:hAnsi="Arial" w:cs="Arial"/>
        <w:b/>
        <w:color w:val="A3A3A3"/>
        <w:sz w:val="18"/>
        <w:szCs w:val="18"/>
        <w14:textFill>
          <w14:solidFill>
            <w14:srgbClr w14:val="A3A3A3">
              <w14:lumMod w14:val="85000"/>
              <w14:lumOff w14:val="15000"/>
              <w14:lumMod w14:val="85000"/>
              <w14:lumOff w14:val="15000"/>
            </w14:srgbClr>
          </w14:solidFill>
        </w14:textFill>
      </w:rPr>
      <w:tab/>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D552E1">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D552E1">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p w:rsidR="00E07C00" w:rsidRPr="0014156A" w:rsidRDefault="0014156A" w:rsidP="0014156A">
    <w:pPr>
      <w:tabs>
        <w:tab w:val="center" w:pos="5220"/>
        <w:tab w:val="right" w:pos="10530"/>
      </w:tabs>
      <w:spacing w:after="0"/>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pPr>
    <w:r w:rsidRPr="0014156A">
      <w:rPr>
        <w:rFonts w:ascii="Arial" w:eastAsia="Calibri" w:hAnsi="Arial" w:cs="Arial"/>
        <w:b/>
        <w:color w:val="A3A3A3"/>
        <w:sz w:val="18"/>
        <w:szCs w:val="14"/>
        <w14:textFill>
          <w14:solidFill>
            <w14:srgbClr w14:val="A3A3A3">
              <w14:lumMod w14:val="85000"/>
              <w14:lumOff w14:val="15000"/>
              <w14:lumMod w14:val="85000"/>
              <w14:lumOff w14:val="15000"/>
            </w14:srgbClr>
          </w14:solidFill>
        </w14:textFill>
      </w:rPr>
      <w:tab/>
    </w:r>
    <w:r w:rsidRPr="0014156A">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Connected Payments Subscription Agreement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3C2" w:rsidRDefault="001A13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F7C" w:rsidRDefault="002C0F7C" w:rsidP="00C02DE2">
      <w:pPr>
        <w:spacing w:after="0"/>
      </w:pPr>
      <w:r>
        <w:separator/>
      </w:r>
    </w:p>
  </w:footnote>
  <w:footnote w:type="continuationSeparator" w:id="0">
    <w:p w:rsidR="002C0F7C" w:rsidRDefault="002C0F7C" w:rsidP="00C02DE2">
      <w:pPr>
        <w:spacing w:after="0"/>
      </w:pPr>
      <w:r>
        <w:continuationSeparator/>
      </w:r>
    </w:p>
    <w:p w:rsidR="002C0F7C" w:rsidRDefault="002C0F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3C2" w:rsidRDefault="001A13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E06E44" w:rsidRDefault="00E06E44" w:rsidP="00E06E44">
    <w:pPr>
      <w:pStyle w:val="Header"/>
    </w:pPr>
    <w:r>
      <w:rPr>
        <w:noProof/>
      </w:rPr>
      <w:drawing>
        <wp:inline distT="0" distB="0" distL="0" distR="0" wp14:anchorId="69F891DD" wp14:editId="0000B098">
          <wp:extent cx="457200" cy="457200"/>
          <wp:effectExtent l="0" t="0" r="0" b="0"/>
          <wp:docPr id="34" name="Picture 34" descr="C:\Users\av250130\Pictures\Graphics\NCR Branding\NCR-BB-Alt-s.jpg"/>
          <wp:cNvGraphicFramePr/>
          <a:graphic xmlns:a="http://schemas.openxmlformats.org/drawingml/2006/main">
            <a:graphicData uri="http://schemas.openxmlformats.org/drawingml/2006/picture">
              <pic:pic xmlns:pic="http://schemas.openxmlformats.org/drawingml/2006/picture">
                <pic:nvPicPr>
                  <pic:cNvPr id="1" name="Picture 1" descr="C:\Users\av250130\Pictures\Graphics\NCR Branding\NCR-BB-Alt-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3C2" w:rsidRDefault="001A1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cumentProtection w:edit="forms" w:enforcement="1" w:cryptProviderType="rsaFull" w:cryptAlgorithmClass="hash" w:cryptAlgorithmType="typeAny" w:cryptAlgorithmSid="4" w:cryptSpinCount="100000" w:hash="fStZae55jkXXKlz0Y1094VunVqw=" w:salt="mp4ATZRXIOCGnMc5eHDR/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53537"/>
    <w:rsid w:val="0006209C"/>
    <w:rsid w:val="00091D11"/>
    <w:rsid w:val="000E1013"/>
    <w:rsid w:val="0014156A"/>
    <w:rsid w:val="00144599"/>
    <w:rsid w:val="00150FD9"/>
    <w:rsid w:val="00160CEB"/>
    <w:rsid w:val="001A13C2"/>
    <w:rsid w:val="001E306D"/>
    <w:rsid w:val="002147BB"/>
    <w:rsid w:val="00296499"/>
    <w:rsid w:val="002A767D"/>
    <w:rsid w:val="002B5A7A"/>
    <w:rsid w:val="002B6FE7"/>
    <w:rsid w:val="002C0F7C"/>
    <w:rsid w:val="002C317A"/>
    <w:rsid w:val="0039593F"/>
    <w:rsid w:val="00397903"/>
    <w:rsid w:val="003B1E4A"/>
    <w:rsid w:val="003E32A3"/>
    <w:rsid w:val="00454BE2"/>
    <w:rsid w:val="00454BF4"/>
    <w:rsid w:val="00455707"/>
    <w:rsid w:val="0047524E"/>
    <w:rsid w:val="004766E5"/>
    <w:rsid w:val="0053350C"/>
    <w:rsid w:val="005649F6"/>
    <w:rsid w:val="00576534"/>
    <w:rsid w:val="00582918"/>
    <w:rsid w:val="005C16D3"/>
    <w:rsid w:val="005E3E58"/>
    <w:rsid w:val="005F36A8"/>
    <w:rsid w:val="006257BE"/>
    <w:rsid w:val="00663EA7"/>
    <w:rsid w:val="00671D6B"/>
    <w:rsid w:val="00687D9F"/>
    <w:rsid w:val="006B3047"/>
    <w:rsid w:val="006C25C9"/>
    <w:rsid w:val="00746BF3"/>
    <w:rsid w:val="0075349F"/>
    <w:rsid w:val="007675E7"/>
    <w:rsid w:val="00770ED1"/>
    <w:rsid w:val="00773BA2"/>
    <w:rsid w:val="007A5B8E"/>
    <w:rsid w:val="007B06AA"/>
    <w:rsid w:val="007D30A6"/>
    <w:rsid w:val="00802907"/>
    <w:rsid w:val="0082321F"/>
    <w:rsid w:val="0083401B"/>
    <w:rsid w:val="00835D21"/>
    <w:rsid w:val="008B6D35"/>
    <w:rsid w:val="008D3AE1"/>
    <w:rsid w:val="009533F6"/>
    <w:rsid w:val="0099688C"/>
    <w:rsid w:val="009C3374"/>
    <w:rsid w:val="009D7751"/>
    <w:rsid w:val="009E02EE"/>
    <w:rsid w:val="009F241E"/>
    <w:rsid w:val="00A77B42"/>
    <w:rsid w:val="00AC25F1"/>
    <w:rsid w:val="00AD33BD"/>
    <w:rsid w:val="00AF0A82"/>
    <w:rsid w:val="00AF37AE"/>
    <w:rsid w:val="00B10A8E"/>
    <w:rsid w:val="00B26CCD"/>
    <w:rsid w:val="00B32480"/>
    <w:rsid w:val="00B419F1"/>
    <w:rsid w:val="00B467FF"/>
    <w:rsid w:val="00B53BBA"/>
    <w:rsid w:val="00B922BC"/>
    <w:rsid w:val="00BE012A"/>
    <w:rsid w:val="00C02DE2"/>
    <w:rsid w:val="00C804FB"/>
    <w:rsid w:val="00CF44B2"/>
    <w:rsid w:val="00CF753C"/>
    <w:rsid w:val="00D41D1D"/>
    <w:rsid w:val="00D52230"/>
    <w:rsid w:val="00D552E1"/>
    <w:rsid w:val="00DA046D"/>
    <w:rsid w:val="00DA4200"/>
    <w:rsid w:val="00DC3851"/>
    <w:rsid w:val="00DC43E0"/>
    <w:rsid w:val="00E06E44"/>
    <w:rsid w:val="00E07C00"/>
    <w:rsid w:val="00E1452C"/>
    <w:rsid w:val="00E4030F"/>
    <w:rsid w:val="00E45D49"/>
    <w:rsid w:val="00E73260"/>
    <w:rsid w:val="00EA41AE"/>
    <w:rsid w:val="00ED6863"/>
    <w:rsid w:val="00EF07E1"/>
    <w:rsid w:val="00EF5FB5"/>
    <w:rsid w:val="00F4791F"/>
    <w:rsid w:val="00F52925"/>
    <w:rsid w:val="00F94A7D"/>
    <w:rsid w:val="00FB447F"/>
    <w:rsid w:val="00FC1DAE"/>
    <w:rsid w:val="00FD3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309">
      <w:bodyDiv w:val="1"/>
      <w:marLeft w:val="0"/>
      <w:marRight w:val="0"/>
      <w:marTop w:val="0"/>
      <w:marBottom w:val="0"/>
      <w:divBdr>
        <w:top w:val="none" w:sz="0" w:space="0" w:color="auto"/>
        <w:left w:val="none" w:sz="0" w:space="0" w:color="auto"/>
        <w:bottom w:val="none" w:sz="0" w:space="0" w:color="auto"/>
        <w:right w:val="none" w:sz="0" w:space="0" w:color="auto"/>
      </w:divBdr>
    </w:div>
    <w:div w:id="208340942">
      <w:bodyDiv w:val="1"/>
      <w:marLeft w:val="0"/>
      <w:marRight w:val="0"/>
      <w:marTop w:val="0"/>
      <w:marBottom w:val="0"/>
      <w:divBdr>
        <w:top w:val="none" w:sz="0" w:space="0" w:color="auto"/>
        <w:left w:val="none" w:sz="0" w:space="0" w:color="auto"/>
        <w:bottom w:val="none" w:sz="0" w:space="0" w:color="auto"/>
        <w:right w:val="none" w:sz="0" w:space="0" w:color="auto"/>
      </w:divBdr>
    </w:div>
    <w:div w:id="333608805">
      <w:bodyDiv w:val="1"/>
      <w:marLeft w:val="0"/>
      <w:marRight w:val="0"/>
      <w:marTop w:val="0"/>
      <w:marBottom w:val="0"/>
      <w:divBdr>
        <w:top w:val="none" w:sz="0" w:space="0" w:color="auto"/>
        <w:left w:val="none" w:sz="0" w:space="0" w:color="auto"/>
        <w:bottom w:val="none" w:sz="0" w:space="0" w:color="auto"/>
        <w:right w:val="none" w:sz="0" w:space="0" w:color="auto"/>
      </w:divBdr>
    </w:div>
    <w:div w:id="347373285">
      <w:bodyDiv w:val="1"/>
      <w:marLeft w:val="0"/>
      <w:marRight w:val="0"/>
      <w:marTop w:val="0"/>
      <w:marBottom w:val="0"/>
      <w:divBdr>
        <w:top w:val="none" w:sz="0" w:space="0" w:color="auto"/>
        <w:left w:val="none" w:sz="0" w:space="0" w:color="auto"/>
        <w:bottom w:val="none" w:sz="0" w:space="0" w:color="auto"/>
        <w:right w:val="none" w:sz="0" w:space="0" w:color="auto"/>
      </w:divBdr>
    </w:div>
    <w:div w:id="583489564">
      <w:bodyDiv w:val="1"/>
      <w:marLeft w:val="0"/>
      <w:marRight w:val="0"/>
      <w:marTop w:val="0"/>
      <w:marBottom w:val="0"/>
      <w:divBdr>
        <w:top w:val="none" w:sz="0" w:space="0" w:color="auto"/>
        <w:left w:val="none" w:sz="0" w:space="0" w:color="auto"/>
        <w:bottom w:val="none" w:sz="0" w:space="0" w:color="auto"/>
        <w:right w:val="none" w:sz="0" w:space="0" w:color="auto"/>
      </w:divBdr>
    </w:div>
    <w:div w:id="620573034">
      <w:bodyDiv w:val="1"/>
      <w:marLeft w:val="0"/>
      <w:marRight w:val="0"/>
      <w:marTop w:val="0"/>
      <w:marBottom w:val="0"/>
      <w:divBdr>
        <w:top w:val="none" w:sz="0" w:space="0" w:color="auto"/>
        <w:left w:val="none" w:sz="0" w:space="0" w:color="auto"/>
        <w:bottom w:val="none" w:sz="0" w:space="0" w:color="auto"/>
        <w:right w:val="none" w:sz="0" w:space="0" w:color="auto"/>
      </w:divBdr>
    </w:div>
    <w:div w:id="681586159">
      <w:bodyDiv w:val="1"/>
      <w:marLeft w:val="0"/>
      <w:marRight w:val="0"/>
      <w:marTop w:val="0"/>
      <w:marBottom w:val="0"/>
      <w:divBdr>
        <w:top w:val="none" w:sz="0" w:space="0" w:color="auto"/>
        <w:left w:val="none" w:sz="0" w:space="0" w:color="auto"/>
        <w:bottom w:val="none" w:sz="0" w:space="0" w:color="auto"/>
        <w:right w:val="none" w:sz="0" w:space="0" w:color="auto"/>
      </w:divBdr>
    </w:div>
    <w:div w:id="692540265">
      <w:bodyDiv w:val="1"/>
      <w:marLeft w:val="0"/>
      <w:marRight w:val="0"/>
      <w:marTop w:val="0"/>
      <w:marBottom w:val="0"/>
      <w:divBdr>
        <w:top w:val="none" w:sz="0" w:space="0" w:color="auto"/>
        <w:left w:val="none" w:sz="0" w:space="0" w:color="auto"/>
        <w:bottom w:val="none" w:sz="0" w:space="0" w:color="auto"/>
        <w:right w:val="none" w:sz="0" w:space="0" w:color="auto"/>
      </w:divBdr>
    </w:div>
    <w:div w:id="773982907">
      <w:bodyDiv w:val="1"/>
      <w:marLeft w:val="0"/>
      <w:marRight w:val="0"/>
      <w:marTop w:val="0"/>
      <w:marBottom w:val="0"/>
      <w:divBdr>
        <w:top w:val="none" w:sz="0" w:space="0" w:color="auto"/>
        <w:left w:val="none" w:sz="0" w:space="0" w:color="auto"/>
        <w:bottom w:val="none" w:sz="0" w:space="0" w:color="auto"/>
        <w:right w:val="none" w:sz="0" w:space="0" w:color="auto"/>
      </w:divBdr>
    </w:div>
    <w:div w:id="776102072">
      <w:bodyDiv w:val="1"/>
      <w:marLeft w:val="0"/>
      <w:marRight w:val="0"/>
      <w:marTop w:val="0"/>
      <w:marBottom w:val="0"/>
      <w:divBdr>
        <w:top w:val="none" w:sz="0" w:space="0" w:color="auto"/>
        <w:left w:val="none" w:sz="0" w:space="0" w:color="auto"/>
        <w:bottom w:val="none" w:sz="0" w:space="0" w:color="auto"/>
        <w:right w:val="none" w:sz="0" w:space="0" w:color="auto"/>
      </w:divBdr>
    </w:div>
    <w:div w:id="808716898">
      <w:bodyDiv w:val="1"/>
      <w:marLeft w:val="0"/>
      <w:marRight w:val="0"/>
      <w:marTop w:val="0"/>
      <w:marBottom w:val="0"/>
      <w:divBdr>
        <w:top w:val="none" w:sz="0" w:space="0" w:color="auto"/>
        <w:left w:val="none" w:sz="0" w:space="0" w:color="auto"/>
        <w:bottom w:val="none" w:sz="0" w:space="0" w:color="auto"/>
        <w:right w:val="none" w:sz="0" w:space="0" w:color="auto"/>
      </w:divBdr>
    </w:div>
    <w:div w:id="1290866820">
      <w:bodyDiv w:val="1"/>
      <w:marLeft w:val="0"/>
      <w:marRight w:val="0"/>
      <w:marTop w:val="0"/>
      <w:marBottom w:val="0"/>
      <w:divBdr>
        <w:top w:val="none" w:sz="0" w:space="0" w:color="auto"/>
        <w:left w:val="none" w:sz="0" w:space="0" w:color="auto"/>
        <w:bottom w:val="none" w:sz="0" w:space="0" w:color="auto"/>
        <w:right w:val="none" w:sz="0" w:space="0" w:color="auto"/>
      </w:divBdr>
    </w:div>
    <w:div w:id="1428311968">
      <w:bodyDiv w:val="1"/>
      <w:marLeft w:val="0"/>
      <w:marRight w:val="0"/>
      <w:marTop w:val="0"/>
      <w:marBottom w:val="0"/>
      <w:divBdr>
        <w:top w:val="none" w:sz="0" w:space="0" w:color="auto"/>
        <w:left w:val="none" w:sz="0" w:space="0" w:color="auto"/>
        <w:bottom w:val="none" w:sz="0" w:space="0" w:color="auto"/>
        <w:right w:val="none" w:sz="0" w:space="0" w:color="auto"/>
      </w:divBdr>
    </w:div>
    <w:div w:id="1512646134">
      <w:bodyDiv w:val="1"/>
      <w:marLeft w:val="0"/>
      <w:marRight w:val="0"/>
      <w:marTop w:val="0"/>
      <w:marBottom w:val="0"/>
      <w:divBdr>
        <w:top w:val="none" w:sz="0" w:space="0" w:color="auto"/>
        <w:left w:val="none" w:sz="0" w:space="0" w:color="auto"/>
        <w:bottom w:val="none" w:sz="0" w:space="0" w:color="auto"/>
        <w:right w:val="none" w:sz="0" w:space="0" w:color="auto"/>
      </w:divBdr>
    </w:div>
    <w:div w:id="1530685833">
      <w:bodyDiv w:val="1"/>
      <w:marLeft w:val="0"/>
      <w:marRight w:val="0"/>
      <w:marTop w:val="0"/>
      <w:marBottom w:val="0"/>
      <w:divBdr>
        <w:top w:val="none" w:sz="0" w:space="0" w:color="auto"/>
        <w:left w:val="none" w:sz="0" w:space="0" w:color="auto"/>
        <w:bottom w:val="none" w:sz="0" w:space="0" w:color="auto"/>
        <w:right w:val="none" w:sz="0" w:space="0" w:color="auto"/>
      </w:divBdr>
    </w:div>
    <w:div w:id="1592739263">
      <w:bodyDiv w:val="1"/>
      <w:marLeft w:val="0"/>
      <w:marRight w:val="0"/>
      <w:marTop w:val="0"/>
      <w:marBottom w:val="0"/>
      <w:divBdr>
        <w:top w:val="none" w:sz="0" w:space="0" w:color="auto"/>
        <w:left w:val="none" w:sz="0" w:space="0" w:color="auto"/>
        <w:bottom w:val="none" w:sz="0" w:space="0" w:color="auto"/>
        <w:right w:val="none" w:sz="0" w:space="0" w:color="auto"/>
      </w:divBdr>
    </w:div>
    <w:div w:id="1753237671">
      <w:bodyDiv w:val="1"/>
      <w:marLeft w:val="0"/>
      <w:marRight w:val="0"/>
      <w:marTop w:val="0"/>
      <w:marBottom w:val="0"/>
      <w:divBdr>
        <w:top w:val="none" w:sz="0" w:space="0" w:color="auto"/>
        <w:left w:val="none" w:sz="0" w:space="0" w:color="auto"/>
        <w:bottom w:val="none" w:sz="0" w:space="0" w:color="auto"/>
        <w:right w:val="none" w:sz="0" w:space="0" w:color="auto"/>
      </w:divBdr>
    </w:div>
    <w:div w:id="1758867321">
      <w:bodyDiv w:val="1"/>
      <w:marLeft w:val="0"/>
      <w:marRight w:val="0"/>
      <w:marTop w:val="0"/>
      <w:marBottom w:val="0"/>
      <w:divBdr>
        <w:top w:val="none" w:sz="0" w:space="0" w:color="auto"/>
        <w:left w:val="none" w:sz="0" w:space="0" w:color="auto"/>
        <w:bottom w:val="none" w:sz="0" w:space="0" w:color="auto"/>
        <w:right w:val="none" w:sz="0" w:space="0" w:color="auto"/>
      </w:divBdr>
    </w:div>
    <w:div w:id="1980525994">
      <w:bodyDiv w:val="1"/>
      <w:marLeft w:val="0"/>
      <w:marRight w:val="0"/>
      <w:marTop w:val="0"/>
      <w:marBottom w:val="0"/>
      <w:divBdr>
        <w:top w:val="none" w:sz="0" w:space="0" w:color="auto"/>
        <w:left w:val="none" w:sz="0" w:space="0" w:color="auto"/>
        <w:bottom w:val="none" w:sz="0" w:space="0" w:color="auto"/>
        <w:right w:val="none" w:sz="0" w:space="0" w:color="auto"/>
      </w:divBdr>
    </w:div>
    <w:div w:id="201399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74D72-868F-4000-9881-7BA81C901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Exhibit C — Service Level Agreement, Connected Payments Subscription Agreement</vt:lpstr>
    </vt:vector>
  </TitlesOfParts>
  <Company>NCR Corporation</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B — System Requirements, Connected Payments Subscription Agreement</dc:title>
  <dc:subject>Connected Payments</dc:subject>
  <dc:creator>van Seventer, Antony</dc:creator>
  <cp:keywords>Exhibit B — System Requirements Connected Payments, ServerEPS, subscription agreement, contract</cp:keywords>
  <dc:description>Connected Payments Subscription Agreement Exhibit B — System Requirements v12.0, 18-Nov-14</dc:description>
  <cp:lastModifiedBy>van Seventer, Antony</cp:lastModifiedBy>
  <cp:revision>4</cp:revision>
  <cp:lastPrinted>2014-11-18T19:12:00Z</cp:lastPrinted>
  <dcterms:created xsi:type="dcterms:W3CDTF">2014-11-18T19:57:00Z</dcterms:created>
  <dcterms:modified xsi:type="dcterms:W3CDTF">2014-11-18T20:42:00Z</dcterms:modified>
  <cp:category>Agreements</cp:category>
</cp:coreProperties>
</file>